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CC626" w14:textId="6B5E1345" w:rsidR="00C71C36" w:rsidRPr="00576CF6" w:rsidRDefault="000349B5" w:rsidP="00AC7DC2">
      <w:pPr>
        <w:pStyle w:val="Prosttext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D2031BE" wp14:editId="49004EBA">
            <wp:simplePos x="0" y="0"/>
            <wp:positionH relativeFrom="column">
              <wp:posOffset>1885950</wp:posOffset>
            </wp:positionH>
            <wp:positionV relativeFrom="page">
              <wp:posOffset>956945</wp:posOffset>
            </wp:positionV>
            <wp:extent cx="960755" cy="830580"/>
            <wp:effectExtent l="0" t="0" r="0" b="762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0" locked="0" layoutInCell="1" allowOverlap="1" wp14:anchorId="6AF8F525" wp14:editId="22A30C82">
            <wp:simplePos x="0" y="0"/>
            <wp:positionH relativeFrom="column">
              <wp:posOffset>3187700</wp:posOffset>
            </wp:positionH>
            <wp:positionV relativeFrom="page">
              <wp:posOffset>1122045</wp:posOffset>
            </wp:positionV>
            <wp:extent cx="942340" cy="547370"/>
            <wp:effectExtent l="0" t="0" r="0" b="508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520C2A5D" wp14:editId="0AD66346">
            <wp:simplePos x="0" y="0"/>
            <wp:positionH relativeFrom="column">
              <wp:posOffset>4337050</wp:posOffset>
            </wp:positionH>
            <wp:positionV relativeFrom="paragraph">
              <wp:posOffset>209550</wp:posOffset>
            </wp:positionV>
            <wp:extent cx="1648460" cy="610870"/>
            <wp:effectExtent l="0" t="0" r="2540" b="0"/>
            <wp:wrapThrough wrapText="bothSides">
              <wp:wrapPolygon edited="0">
                <wp:start x="0" y="0"/>
                <wp:lineTo x="0" y="21106"/>
                <wp:lineTo x="21467" y="21106"/>
                <wp:lineTo x="21467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saf_logo_RGB_text_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C36" w:rsidRPr="00576CF6">
        <w:rPr>
          <w:rFonts w:ascii="Arial" w:hAnsi="Arial" w:cs="Arial"/>
          <w:noProof/>
          <w:sz w:val="20"/>
          <w:szCs w:val="20"/>
          <w:lang w:eastAsia="cs-CZ"/>
        </w:rPr>
        <w:drawing>
          <wp:inline distT="114300" distB="114300" distL="114300" distR="114300" wp14:anchorId="64058864" wp14:editId="3D3069B0">
            <wp:extent cx="1532255" cy="10477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2476" cy="10479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</w:p>
    <w:p w14:paraId="616A89E7" w14:textId="77777777" w:rsidR="00C71C36" w:rsidRDefault="00C71C36" w:rsidP="00C71C36">
      <w:pPr>
        <w:pStyle w:val="Prosttext"/>
        <w:jc w:val="center"/>
        <w:rPr>
          <w:rFonts w:ascii="Arial" w:hAnsi="Arial" w:cs="Arial"/>
          <w:sz w:val="20"/>
          <w:szCs w:val="20"/>
        </w:rPr>
      </w:pPr>
      <w:r w:rsidRPr="00576CF6">
        <w:rPr>
          <w:rFonts w:ascii="Arial" w:hAnsi="Arial" w:cs="Arial"/>
          <w:sz w:val="20"/>
          <w:szCs w:val="20"/>
        </w:rPr>
        <w:t>Tisková zpráva</w:t>
      </w:r>
    </w:p>
    <w:p w14:paraId="249D4D94" w14:textId="77777777" w:rsidR="00777856" w:rsidRDefault="00777856" w:rsidP="003E0D61">
      <w:pPr>
        <w:pStyle w:val="Prosttext"/>
        <w:rPr>
          <w:rFonts w:ascii="Arial" w:hAnsi="Arial" w:cs="Arial"/>
          <w:sz w:val="20"/>
          <w:szCs w:val="20"/>
        </w:rPr>
      </w:pPr>
    </w:p>
    <w:p w14:paraId="41B5FB0F" w14:textId="484076A7" w:rsidR="00777856" w:rsidRPr="00305F5B" w:rsidRDefault="00777856" w:rsidP="003E0D61">
      <w:pPr>
        <w:pStyle w:val="Prosttext"/>
        <w:jc w:val="center"/>
        <w:rPr>
          <w:rFonts w:ascii="Arial" w:hAnsi="Arial" w:cs="Arial"/>
          <w:b/>
          <w:sz w:val="20"/>
          <w:szCs w:val="20"/>
        </w:rPr>
      </w:pPr>
      <w:r w:rsidRPr="00305F5B">
        <w:rPr>
          <w:rFonts w:ascii="Arial" w:hAnsi="Arial" w:cs="Arial"/>
          <w:b/>
          <w:sz w:val="20"/>
          <w:szCs w:val="20"/>
        </w:rPr>
        <w:t xml:space="preserve">PES zapomněl na kina, v těch se </w:t>
      </w:r>
      <w:r w:rsidR="009F10E9" w:rsidRPr="00305F5B">
        <w:rPr>
          <w:rFonts w:ascii="Arial" w:hAnsi="Arial" w:cs="Arial"/>
          <w:b/>
          <w:sz w:val="20"/>
          <w:szCs w:val="20"/>
        </w:rPr>
        <w:t>virus nešířil</w:t>
      </w:r>
      <w:r w:rsidR="00B24EE3">
        <w:rPr>
          <w:rFonts w:ascii="Arial" w:hAnsi="Arial" w:cs="Arial"/>
          <w:b/>
          <w:sz w:val="20"/>
          <w:szCs w:val="20"/>
        </w:rPr>
        <w:t xml:space="preserve">, </w:t>
      </w:r>
      <w:r w:rsidR="009F10E9" w:rsidRPr="00305F5B">
        <w:rPr>
          <w:rFonts w:ascii="Arial" w:hAnsi="Arial" w:cs="Arial"/>
          <w:b/>
          <w:sz w:val="20"/>
          <w:szCs w:val="20"/>
        </w:rPr>
        <w:t>hosty ochrání</w:t>
      </w:r>
      <w:r w:rsidR="00A4441E" w:rsidRPr="00305F5B">
        <w:rPr>
          <w:rFonts w:ascii="Arial" w:hAnsi="Arial" w:cs="Arial"/>
          <w:b/>
          <w:sz w:val="20"/>
          <w:szCs w:val="20"/>
        </w:rPr>
        <w:t xml:space="preserve"> dle </w:t>
      </w:r>
      <w:r w:rsidR="00325877">
        <w:rPr>
          <w:rFonts w:ascii="Arial" w:hAnsi="Arial" w:cs="Arial"/>
          <w:b/>
          <w:sz w:val="20"/>
          <w:szCs w:val="20"/>
        </w:rPr>
        <w:t xml:space="preserve">zástupců audiovizuálních asociací </w:t>
      </w:r>
      <w:r w:rsidR="00B24EE3">
        <w:rPr>
          <w:rFonts w:ascii="Arial" w:hAnsi="Arial" w:cs="Arial"/>
          <w:b/>
          <w:sz w:val="20"/>
          <w:szCs w:val="20"/>
        </w:rPr>
        <w:t>stejně jako</w:t>
      </w:r>
      <w:r w:rsidR="009F10E9" w:rsidRPr="00305F5B">
        <w:rPr>
          <w:rFonts w:ascii="Arial" w:hAnsi="Arial" w:cs="Arial"/>
          <w:b/>
          <w:sz w:val="20"/>
          <w:szCs w:val="20"/>
        </w:rPr>
        <w:t xml:space="preserve"> restaurace</w:t>
      </w:r>
    </w:p>
    <w:p w14:paraId="6DDE7EDA" w14:textId="77777777" w:rsidR="000D4424" w:rsidRPr="00305F5B" w:rsidRDefault="000D4424" w:rsidP="003E0D61">
      <w:pPr>
        <w:pStyle w:val="Prosttext"/>
        <w:rPr>
          <w:rFonts w:ascii="Arial" w:hAnsi="Arial" w:cs="Arial"/>
          <w:sz w:val="20"/>
          <w:szCs w:val="20"/>
        </w:rPr>
      </w:pPr>
    </w:p>
    <w:p w14:paraId="0DA051D3" w14:textId="77777777" w:rsidR="000D4424" w:rsidRPr="00305F5B" w:rsidRDefault="000D4424" w:rsidP="003E0D61">
      <w:pPr>
        <w:pStyle w:val="Prosttext"/>
        <w:rPr>
          <w:rFonts w:ascii="Arial" w:hAnsi="Arial" w:cs="Arial"/>
          <w:sz w:val="20"/>
          <w:szCs w:val="20"/>
        </w:rPr>
      </w:pPr>
    </w:p>
    <w:p w14:paraId="4B2C9E31" w14:textId="7C1A8800" w:rsidR="003F5B08" w:rsidRDefault="000D4424" w:rsidP="003E0D61">
      <w:pPr>
        <w:pStyle w:val="Prosttext"/>
        <w:rPr>
          <w:rFonts w:ascii="Arial" w:hAnsi="Arial" w:cs="Arial"/>
          <w:sz w:val="20"/>
          <w:szCs w:val="20"/>
        </w:rPr>
      </w:pPr>
      <w:r w:rsidRPr="00305F5B">
        <w:rPr>
          <w:rFonts w:ascii="Arial" w:hAnsi="Arial" w:cs="Arial"/>
          <w:sz w:val="20"/>
          <w:szCs w:val="20"/>
        </w:rPr>
        <w:t>Zástupci APA (Asociace producentů v audiovizi)</w:t>
      </w:r>
      <w:r w:rsidR="00206BB1">
        <w:rPr>
          <w:rFonts w:ascii="Arial" w:hAnsi="Arial" w:cs="Arial"/>
          <w:sz w:val="20"/>
          <w:szCs w:val="20"/>
        </w:rPr>
        <w:t>, APK (Asociace provozovatelů kin), UFD (Unie filmových distributorů) a ASAF (Asociace animovaného filmu)</w:t>
      </w:r>
      <w:r w:rsidRPr="00305F5B">
        <w:rPr>
          <w:rFonts w:ascii="Arial" w:hAnsi="Arial" w:cs="Arial"/>
          <w:sz w:val="20"/>
          <w:szCs w:val="20"/>
        </w:rPr>
        <w:t xml:space="preserve"> </w:t>
      </w:r>
      <w:r w:rsidR="00206BB1">
        <w:rPr>
          <w:rFonts w:ascii="Arial" w:hAnsi="Arial" w:cs="Arial"/>
          <w:sz w:val="20"/>
          <w:szCs w:val="20"/>
        </w:rPr>
        <w:t xml:space="preserve">důrazně </w:t>
      </w:r>
      <w:r w:rsidR="00F004C1">
        <w:rPr>
          <w:rFonts w:ascii="Arial" w:hAnsi="Arial" w:cs="Arial"/>
          <w:sz w:val="20"/>
          <w:szCs w:val="20"/>
        </w:rPr>
        <w:t>žádají ministra</w:t>
      </w:r>
      <w:r w:rsidR="00B24EE3">
        <w:rPr>
          <w:rFonts w:ascii="Arial" w:hAnsi="Arial" w:cs="Arial"/>
          <w:sz w:val="20"/>
          <w:szCs w:val="20"/>
        </w:rPr>
        <w:t xml:space="preserve"> z</w:t>
      </w:r>
      <w:r w:rsidR="00F004C1">
        <w:rPr>
          <w:rFonts w:ascii="Arial" w:hAnsi="Arial" w:cs="Arial"/>
          <w:sz w:val="20"/>
          <w:szCs w:val="20"/>
        </w:rPr>
        <w:t>dravotnictví, aby přeřadil</w:t>
      </w:r>
      <w:r w:rsidR="00B24EE3">
        <w:rPr>
          <w:rFonts w:ascii="Arial" w:hAnsi="Arial" w:cs="Arial"/>
          <w:sz w:val="20"/>
          <w:szCs w:val="20"/>
        </w:rPr>
        <w:t xml:space="preserve"> kin</w:t>
      </w:r>
      <w:r w:rsidR="00F004C1">
        <w:rPr>
          <w:rFonts w:ascii="Arial" w:hAnsi="Arial" w:cs="Arial"/>
          <w:sz w:val="20"/>
          <w:szCs w:val="20"/>
        </w:rPr>
        <w:t>a</w:t>
      </w:r>
      <w:r w:rsidR="00206BB1">
        <w:rPr>
          <w:rFonts w:ascii="Arial" w:hAnsi="Arial" w:cs="Arial"/>
          <w:sz w:val="20"/>
          <w:szCs w:val="20"/>
        </w:rPr>
        <w:t xml:space="preserve"> </w:t>
      </w:r>
      <w:r w:rsidR="00B24EE3">
        <w:rPr>
          <w:rFonts w:ascii="Arial" w:hAnsi="Arial" w:cs="Arial"/>
          <w:sz w:val="20"/>
          <w:szCs w:val="20"/>
        </w:rPr>
        <w:t>do odpovídajícího třetího stupně v matici</w:t>
      </w:r>
      <w:r w:rsidR="00206BB1">
        <w:rPr>
          <w:rFonts w:ascii="Arial" w:hAnsi="Arial" w:cs="Arial"/>
          <w:sz w:val="20"/>
          <w:szCs w:val="20"/>
        </w:rPr>
        <w:t xml:space="preserve"> PES</w:t>
      </w:r>
      <w:r w:rsidRPr="00305F5B">
        <w:rPr>
          <w:rFonts w:ascii="Arial" w:hAnsi="Arial" w:cs="Arial"/>
          <w:sz w:val="20"/>
          <w:szCs w:val="20"/>
        </w:rPr>
        <w:t xml:space="preserve">. </w:t>
      </w:r>
      <w:r w:rsidR="003F5B08">
        <w:rPr>
          <w:rFonts w:ascii="Arial" w:hAnsi="Arial" w:cs="Arial"/>
          <w:sz w:val="20"/>
          <w:szCs w:val="20"/>
        </w:rPr>
        <w:t xml:space="preserve">Filmové projekce nejsou pode nich součástí živé kultury a tvůrci matice na ně a celá kina ve třetím stupni </w:t>
      </w:r>
      <w:bookmarkStart w:id="0" w:name="_GoBack"/>
      <w:bookmarkEnd w:id="0"/>
      <w:r w:rsidR="003F5B08">
        <w:rPr>
          <w:rFonts w:ascii="Arial" w:hAnsi="Arial" w:cs="Arial"/>
          <w:sz w:val="20"/>
          <w:szCs w:val="20"/>
        </w:rPr>
        <w:t>snad jen zapomněli.</w:t>
      </w:r>
    </w:p>
    <w:p w14:paraId="681FF282" w14:textId="4017649A" w:rsidR="00121D37" w:rsidRPr="00305F5B" w:rsidRDefault="00121D37" w:rsidP="003E0D61">
      <w:pPr>
        <w:pStyle w:val="Prosttext"/>
        <w:rPr>
          <w:rFonts w:ascii="Arial" w:hAnsi="Arial" w:cs="Arial"/>
          <w:sz w:val="20"/>
          <w:szCs w:val="20"/>
        </w:rPr>
      </w:pPr>
      <w:r w:rsidRPr="00305F5B">
        <w:rPr>
          <w:rFonts w:ascii="Arial" w:hAnsi="Arial" w:cs="Arial"/>
          <w:sz w:val="20"/>
          <w:szCs w:val="20"/>
        </w:rPr>
        <w:t>J</w:t>
      </w:r>
      <w:r w:rsidR="000D4424" w:rsidRPr="00305F5B">
        <w:rPr>
          <w:rFonts w:ascii="Arial" w:hAnsi="Arial" w:cs="Arial"/>
          <w:sz w:val="20"/>
          <w:szCs w:val="20"/>
        </w:rPr>
        <w:t xml:space="preserve">inak </w:t>
      </w:r>
      <w:r w:rsidRPr="00305F5B">
        <w:rPr>
          <w:rFonts w:ascii="Arial" w:hAnsi="Arial" w:cs="Arial"/>
          <w:sz w:val="20"/>
          <w:szCs w:val="20"/>
        </w:rPr>
        <w:t>jde</w:t>
      </w:r>
      <w:r w:rsidR="000D4424" w:rsidRPr="00305F5B">
        <w:rPr>
          <w:rFonts w:ascii="Arial" w:hAnsi="Arial" w:cs="Arial"/>
          <w:sz w:val="20"/>
          <w:szCs w:val="20"/>
        </w:rPr>
        <w:t xml:space="preserve"> podle nich o zvýhodňování určité části podnikatelů na úkor </w:t>
      </w:r>
      <w:r w:rsidR="00F051FC">
        <w:rPr>
          <w:rFonts w:ascii="Arial" w:hAnsi="Arial" w:cs="Arial"/>
          <w:sz w:val="20"/>
          <w:szCs w:val="20"/>
        </w:rPr>
        <w:t xml:space="preserve">jiných. </w:t>
      </w:r>
      <w:r w:rsidRPr="00305F5B">
        <w:rPr>
          <w:rFonts w:ascii="Arial" w:hAnsi="Arial" w:cs="Arial"/>
          <w:sz w:val="20"/>
          <w:szCs w:val="20"/>
        </w:rPr>
        <w:t>Během</w:t>
      </w:r>
      <w:r w:rsidR="00206BB1">
        <w:rPr>
          <w:rFonts w:ascii="Arial" w:hAnsi="Arial" w:cs="Arial"/>
          <w:sz w:val="20"/>
          <w:szCs w:val="20"/>
        </w:rPr>
        <w:t xml:space="preserve"> </w:t>
      </w:r>
      <w:r w:rsidRPr="00305F5B">
        <w:rPr>
          <w:rFonts w:ascii="Arial" w:hAnsi="Arial" w:cs="Arial"/>
          <w:sz w:val="20"/>
          <w:szCs w:val="20"/>
        </w:rPr>
        <w:t>léta nebyl</w:t>
      </w:r>
      <w:r w:rsidR="00B24EE3">
        <w:rPr>
          <w:rFonts w:ascii="Arial" w:hAnsi="Arial" w:cs="Arial"/>
          <w:sz w:val="20"/>
          <w:szCs w:val="20"/>
        </w:rPr>
        <w:t>o</w:t>
      </w:r>
      <w:r w:rsidRPr="00305F5B">
        <w:rPr>
          <w:rFonts w:ascii="Arial" w:hAnsi="Arial" w:cs="Arial"/>
          <w:sz w:val="20"/>
          <w:szCs w:val="20"/>
        </w:rPr>
        <w:t xml:space="preserve"> </w:t>
      </w:r>
      <w:r w:rsidR="00B24EE3">
        <w:rPr>
          <w:rFonts w:ascii="Arial" w:hAnsi="Arial" w:cs="Arial"/>
          <w:sz w:val="20"/>
          <w:szCs w:val="20"/>
        </w:rPr>
        <w:t xml:space="preserve">navíc </w:t>
      </w:r>
      <w:r w:rsidRPr="00305F5B">
        <w:rPr>
          <w:rFonts w:ascii="Arial" w:hAnsi="Arial" w:cs="Arial"/>
          <w:sz w:val="20"/>
          <w:szCs w:val="20"/>
        </w:rPr>
        <w:t>z kin dle dostupných informací hlášen</w:t>
      </w:r>
      <w:r w:rsidR="00062946">
        <w:rPr>
          <w:rFonts w:ascii="Arial" w:hAnsi="Arial" w:cs="Arial"/>
          <w:sz w:val="20"/>
          <w:szCs w:val="20"/>
        </w:rPr>
        <w:t xml:space="preserve">o žádné ohnisko nákazy. </w:t>
      </w:r>
      <w:r w:rsidRPr="00305F5B">
        <w:rPr>
          <w:rFonts w:ascii="Arial" w:hAnsi="Arial" w:cs="Arial"/>
          <w:sz w:val="20"/>
          <w:szCs w:val="20"/>
        </w:rPr>
        <w:t xml:space="preserve">Své zákazníky </w:t>
      </w:r>
      <w:r w:rsidR="003A6F82" w:rsidRPr="00305F5B">
        <w:rPr>
          <w:rFonts w:ascii="Arial" w:hAnsi="Arial" w:cs="Arial"/>
          <w:sz w:val="20"/>
          <w:szCs w:val="20"/>
        </w:rPr>
        <w:t xml:space="preserve">umí </w:t>
      </w:r>
      <w:r w:rsidR="008C264C" w:rsidRPr="00305F5B">
        <w:rPr>
          <w:rFonts w:ascii="Arial" w:hAnsi="Arial" w:cs="Arial"/>
          <w:sz w:val="20"/>
          <w:szCs w:val="20"/>
        </w:rPr>
        <w:t>kina</w:t>
      </w:r>
      <w:r w:rsidR="00F051FC">
        <w:rPr>
          <w:rFonts w:ascii="Arial" w:hAnsi="Arial" w:cs="Arial"/>
          <w:sz w:val="20"/>
          <w:szCs w:val="20"/>
        </w:rPr>
        <w:t xml:space="preserve"> </w:t>
      </w:r>
      <w:r w:rsidR="003A6F82" w:rsidRPr="00325877">
        <w:rPr>
          <w:rFonts w:ascii="Arial" w:hAnsi="Arial" w:cs="Arial"/>
          <w:sz w:val="20"/>
          <w:szCs w:val="20"/>
        </w:rPr>
        <w:t xml:space="preserve">dle </w:t>
      </w:r>
      <w:r w:rsidR="00325877" w:rsidRPr="00325877">
        <w:rPr>
          <w:rFonts w:ascii="Arial" w:hAnsi="Arial" w:cs="Arial"/>
          <w:sz w:val="20"/>
          <w:szCs w:val="20"/>
        </w:rPr>
        <w:t>zástupců audiovizuálních asociací</w:t>
      </w:r>
      <w:r w:rsidRPr="00325877">
        <w:rPr>
          <w:rFonts w:ascii="Arial" w:hAnsi="Arial" w:cs="Arial"/>
          <w:sz w:val="20"/>
          <w:szCs w:val="20"/>
        </w:rPr>
        <w:t xml:space="preserve"> </w:t>
      </w:r>
      <w:r w:rsidRPr="00305F5B">
        <w:rPr>
          <w:rFonts w:ascii="Arial" w:hAnsi="Arial" w:cs="Arial"/>
          <w:sz w:val="20"/>
          <w:szCs w:val="20"/>
        </w:rPr>
        <w:t xml:space="preserve">ochránit </w:t>
      </w:r>
      <w:r w:rsidR="00B24EE3">
        <w:rPr>
          <w:rFonts w:ascii="Arial" w:hAnsi="Arial" w:cs="Arial"/>
          <w:sz w:val="20"/>
          <w:szCs w:val="20"/>
        </w:rPr>
        <w:t>stejně jako například</w:t>
      </w:r>
      <w:r w:rsidRPr="00305F5B">
        <w:rPr>
          <w:rFonts w:ascii="Arial" w:hAnsi="Arial" w:cs="Arial"/>
          <w:sz w:val="20"/>
          <w:szCs w:val="20"/>
        </w:rPr>
        <w:t xml:space="preserve"> provozovatelé restaurací. </w:t>
      </w:r>
    </w:p>
    <w:p w14:paraId="2D133CD3" w14:textId="77777777" w:rsidR="00121D37" w:rsidRPr="00305F5B" w:rsidRDefault="00121D37" w:rsidP="003E0D61">
      <w:pPr>
        <w:pStyle w:val="Prosttext"/>
        <w:rPr>
          <w:rFonts w:ascii="Arial" w:hAnsi="Arial" w:cs="Arial"/>
          <w:sz w:val="20"/>
          <w:szCs w:val="20"/>
        </w:rPr>
      </w:pPr>
    </w:p>
    <w:p w14:paraId="1C417E56" w14:textId="6C14B969" w:rsidR="005356CB" w:rsidRPr="00305F5B" w:rsidRDefault="00121D37" w:rsidP="003E0D61">
      <w:pPr>
        <w:pStyle w:val="Prosttext"/>
        <w:rPr>
          <w:rFonts w:ascii="Arial" w:hAnsi="Arial" w:cs="Arial"/>
          <w:sz w:val="20"/>
          <w:szCs w:val="20"/>
        </w:rPr>
      </w:pPr>
      <w:r w:rsidRPr="00305F5B">
        <w:rPr>
          <w:rFonts w:ascii="Arial" w:hAnsi="Arial" w:cs="Arial"/>
          <w:sz w:val="20"/>
          <w:szCs w:val="20"/>
        </w:rPr>
        <w:t>Ve svém podrobně vypracovaném plánu mohou kina fle</w:t>
      </w:r>
      <w:r w:rsidR="00D21303" w:rsidRPr="00305F5B">
        <w:rPr>
          <w:rFonts w:ascii="Arial" w:hAnsi="Arial" w:cs="Arial"/>
          <w:sz w:val="20"/>
          <w:szCs w:val="20"/>
        </w:rPr>
        <w:t>xibilně reagovat na matici PES</w:t>
      </w:r>
      <w:r w:rsidR="003A6F82" w:rsidRPr="00305F5B">
        <w:rPr>
          <w:rFonts w:ascii="Arial" w:hAnsi="Arial" w:cs="Arial"/>
          <w:sz w:val="20"/>
          <w:szCs w:val="20"/>
        </w:rPr>
        <w:t xml:space="preserve"> a k tomu</w:t>
      </w:r>
      <w:r w:rsidR="00D21303" w:rsidRPr="00305F5B">
        <w:rPr>
          <w:rFonts w:ascii="Arial" w:hAnsi="Arial" w:cs="Arial"/>
          <w:sz w:val="20"/>
          <w:szCs w:val="20"/>
        </w:rPr>
        <w:t xml:space="preserve"> mají za sebou už bezp</w:t>
      </w:r>
      <w:r w:rsidR="003A6F82" w:rsidRPr="00305F5B">
        <w:rPr>
          <w:rFonts w:ascii="Arial" w:hAnsi="Arial" w:cs="Arial"/>
          <w:sz w:val="20"/>
          <w:szCs w:val="20"/>
        </w:rPr>
        <w:t xml:space="preserve">ečně zvládnutý letní provoz </w:t>
      </w:r>
      <w:r w:rsidR="000F27AE" w:rsidRPr="00305F5B">
        <w:rPr>
          <w:rFonts w:ascii="Arial" w:hAnsi="Arial" w:cs="Arial"/>
          <w:sz w:val="20"/>
          <w:szCs w:val="20"/>
        </w:rPr>
        <w:t>jak v</w:t>
      </w:r>
      <w:r w:rsidR="003A6F82" w:rsidRPr="00305F5B">
        <w:rPr>
          <w:rFonts w:ascii="Arial" w:hAnsi="Arial" w:cs="Arial"/>
          <w:sz w:val="20"/>
          <w:szCs w:val="20"/>
        </w:rPr>
        <w:t> </w:t>
      </w:r>
      <w:proofErr w:type="spellStart"/>
      <w:r w:rsidR="00D21303" w:rsidRPr="00305F5B">
        <w:rPr>
          <w:rFonts w:ascii="Arial" w:hAnsi="Arial" w:cs="Arial"/>
          <w:sz w:val="20"/>
          <w:szCs w:val="20"/>
        </w:rPr>
        <w:t>jednosálových</w:t>
      </w:r>
      <w:proofErr w:type="spellEnd"/>
      <w:r w:rsidR="00D21303" w:rsidRPr="00305F5B">
        <w:rPr>
          <w:rFonts w:ascii="Arial" w:hAnsi="Arial" w:cs="Arial"/>
          <w:sz w:val="20"/>
          <w:szCs w:val="20"/>
        </w:rPr>
        <w:t xml:space="preserve"> </w:t>
      </w:r>
      <w:r w:rsidR="000F27AE" w:rsidRPr="00305F5B">
        <w:rPr>
          <w:rFonts w:ascii="Arial" w:hAnsi="Arial" w:cs="Arial"/>
          <w:sz w:val="20"/>
          <w:szCs w:val="20"/>
        </w:rPr>
        <w:t>kinech tak</w:t>
      </w:r>
      <w:r w:rsidR="00D21303" w:rsidRPr="00305F5B">
        <w:rPr>
          <w:rFonts w:ascii="Arial" w:hAnsi="Arial" w:cs="Arial"/>
          <w:sz w:val="20"/>
          <w:szCs w:val="20"/>
        </w:rPr>
        <w:t xml:space="preserve"> v</w:t>
      </w:r>
      <w:r w:rsidR="003A6F82" w:rsidRPr="00305F5B">
        <w:rPr>
          <w:rFonts w:ascii="Arial" w:hAnsi="Arial" w:cs="Arial"/>
          <w:sz w:val="20"/>
          <w:szCs w:val="20"/>
        </w:rPr>
        <w:t> </w:t>
      </w:r>
      <w:r w:rsidR="00D21303" w:rsidRPr="00305F5B">
        <w:rPr>
          <w:rFonts w:ascii="Arial" w:hAnsi="Arial" w:cs="Arial"/>
          <w:sz w:val="20"/>
          <w:szCs w:val="20"/>
        </w:rPr>
        <w:t>multi</w:t>
      </w:r>
      <w:r w:rsidR="003A6F82" w:rsidRPr="00305F5B">
        <w:rPr>
          <w:rFonts w:ascii="Arial" w:hAnsi="Arial" w:cs="Arial"/>
          <w:sz w:val="20"/>
          <w:szCs w:val="20"/>
        </w:rPr>
        <w:t xml:space="preserve">kinech. </w:t>
      </w:r>
      <w:r w:rsidR="000F27AE" w:rsidRPr="00305F5B">
        <w:rPr>
          <w:rFonts w:ascii="Arial" w:hAnsi="Arial" w:cs="Arial"/>
          <w:sz w:val="20"/>
          <w:szCs w:val="20"/>
        </w:rPr>
        <w:t xml:space="preserve">Kina v minulosti ukázala </w:t>
      </w:r>
      <w:r w:rsidR="00D21303" w:rsidRPr="00305F5B">
        <w:rPr>
          <w:rFonts w:ascii="Arial" w:hAnsi="Arial" w:cs="Arial"/>
          <w:sz w:val="20"/>
          <w:szCs w:val="20"/>
        </w:rPr>
        <w:t xml:space="preserve">bezproblémovou organizaci front, </w:t>
      </w:r>
      <w:r w:rsidR="00F051FC">
        <w:rPr>
          <w:rFonts w:ascii="Arial" w:hAnsi="Arial" w:cs="Arial"/>
          <w:sz w:val="20"/>
          <w:szCs w:val="20"/>
        </w:rPr>
        <w:t xml:space="preserve">vstupenky navíc často prodávají online. </w:t>
      </w:r>
      <w:r w:rsidR="00D21303" w:rsidRPr="00305F5B">
        <w:rPr>
          <w:rFonts w:ascii="Arial" w:hAnsi="Arial" w:cs="Arial"/>
          <w:sz w:val="20"/>
          <w:szCs w:val="20"/>
        </w:rPr>
        <w:t>Stěžejní roli hraje i fakt, že provoz</w:t>
      </w:r>
      <w:r w:rsidR="00F051FC">
        <w:rPr>
          <w:rFonts w:ascii="Arial" w:hAnsi="Arial" w:cs="Arial"/>
          <w:sz w:val="20"/>
          <w:szCs w:val="20"/>
        </w:rPr>
        <w:t xml:space="preserve">ovatelé kin mohou regulovat </w:t>
      </w:r>
      <w:r w:rsidR="00D21303" w:rsidRPr="00305F5B">
        <w:rPr>
          <w:rFonts w:ascii="Arial" w:hAnsi="Arial" w:cs="Arial"/>
          <w:sz w:val="20"/>
          <w:szCs w:val="20"/>
        </w:rPr>
        <w:t>počet diváků v</w:t>
      </w:r>
      <w:r w:rsidR="00F051FC">
        <w:rPr>
          <w:rFonts w:ascii="Arial" w:hAnsi="Arial" w:cs="Arial"/>
          <w:sz w:val="20"/>
          <w:szCs w:val="20"/>
        </w:rPr>
        <w:t> </w:t>
      </w:r>
      <w:r w:rsidR="00D21303" w:rsidRPr="00305F5B">
        <w:rPr>
          <w:rFonts w:ascii="Arial" w:hAnsi="Arial" w:cs="Arial"/>
          <w:sz w:val="20"/>
          <w:szCs w:val="20"/>
        </w:rPr>
        <w:t>sálech</w:t>
      </w:r>
      <w:r w:rsidR="00F051FC">
        <w:rPr>
          <w:rFonts w:ascii="Arial" w:hAnsi="Arial" w:cs="Arial"/>
          <w:sz w:val="20"/>
          <w:szCs w:val="20"/>
        </w:rPr>
        <w:t xml:space="preserve"> a také počet</w:t>
      </w:r>
      <w:r w:rsidR="00D21303" w:rsidRPr="00305F5B">
        <w:rPr>
          <w:rFonts w:ascii="Arial" w:hAnsi="Arial" w:cs="Arial"/>
          <w:sz w:val="20"/>
          <w:szCs w:val="20"/>
        </w:rPr>
        <w:t xml:space="preserve"> filmových představení za jeden den. </w:t>
      </w:r>
      <w:r w:rsidR="00E023DF" w:rsidRPr="00305F5B">
        <w:rPr>
          <w:rFonts w:ascii="Arial" w:hAnsi="Arial" w:cs="Arial"/>
          <w:sz w:val="20"/>
          <w:szCs w:val="20"/>
        </w:rPr>
        <w:t>Návštěvníky kin lze bezpečně oddělit</w:t>
      </w:r>
      <w:r w:rsidR="000F27AE" w:rsidRPr="00305F5B">
        <w:rPr>
          <w:rFonts w:ascii="Arial" w:hAnsi="Arial" w:cs="Arial"/>
          <w:sz w:val="20"/>
          <w:szCs w:val="20"/>
        </w:rPr>
        <w:t xml:space="preserve"> a jejich </w:t>
      </w:r>
      <w:r w:rsidR="00F051FC">
        <w:rPr>
          <w:rFonts w:ascii="Arial" w:hAnsi="Arial" w:cs="Arial"/>
          <w:sz w:val="20"/>
          <w:szCs w:val="20"/>
        </w:rPr>
        <w:t xml:space="preserve">bezpečnost </w:t>
      </w:r>
      <w:r w:rsidR="003E0D61">
        <w:rPr>
          <w:rFonts w:ascii="Arial" w:hAnsi="Arial" w:cs="Arial"/>
          <w:sz w:val="20"/>
          <w:szCs w:val="20"/>
        </w:rPr>
        <w:t>zajišťovat</w:t>
      </w:r>
      <w:r w:rsidR="00F051FC">
        <w:rPr>
          <w:rFonts w:ascii="Arial" w:hAnsi="Arial" w:cs="Arial"/>
          <w:sz w:val="20"/>
          <w:szCs w:val="20"/>
        </w:rPr>
        <w:t xml:space="preserve"> </w:t>
      </w:r>
      <w:r w:rsidR="00305F5B">
        <w:rPr>
          <w:rFonts w:ascii="Arial" w:hAnsi="Arial" w:cs="Arial"/>
          <w:sz w:val="20"/>
          <w:szCs w:val="20"/>
        </w:rPr>
        <w:t xml:space="preserve">v sálech pro 30, 50, </w:t>
      </w:r>
      <w:r w:rsidR="00E023DF" w:rsidRPr="00305F5B">
        <w:rPr>
          <w:rFonts w:ascii="Arial" w:hAnsi="Arial" w:cs="Arial"/>
          <w:sz w:val="20"/>
          <w:szCs w:val="20"/>
        </w:rPr>
        <w:t xml:space="preserve">100 </w:t>
      </w:r>
      <w:r w:rsidR="00305F5B">
        <w:rPr>
          <w:rFonts w:ascii="Arial" w:hAnsi="Arial" w:cs="Arial"/>
          <w:sz w:val="20"/>
          <w:szCs w:val="20"/>
        </w:rPr>
        <w:t>či</w:t>
      </w:r>
      <w:r w:rsidR="00E023DF" w:rsidRPr="00305F5B">
        <w:rPr>
          <w:rFonts w:ascii="Arial" w:hAnsi="Arial" w:cs="Arial"/>
          <w:sz w:val="20"/>
          <w:szCs w:val="20"/>
        </w:rPr>
        <w:t xml:space="preserve"> více lidí. Kina nemají ani běžně zdaleka nap</w:t>
      </w:r>
      <w:r w:rsidR="00667690" w:rsidRPr="00305F5B">
        <w:rPr>
          <w:rFonts w:ascii="Arial" w:hAnsi="Arial" w:cs="Arial"/>
          <w:sz w:val="20"/>
          <w:szCs w:val="20"/>
        </w:rPr>
        <w:t xml:space="preserve">lněnou kapacitu počtu </w:t>
      </w:r>
      <w:r w:rsidR="00F051FC">
        <w:rPr>
          <w:rFonts w:ascii="Arial" w:hAnsi="Arial" w:cs="Arial"/>
          <w:sz w:val="20"/>
          <w:szCs w:val="20"/>
        </w:rPr>
        <w:t>obsazených</w:t>
      </w:r>
      <w:r w:rsidR="00BE16E8" w:rsidRPr="00305F5B">
        <w:rPr>
          <w:rFonts w:ascii="Arial" w:hAnsi="Arial" w:cs="Arial"/>
          <w:sz w:val="20"/>
          <w:szCs w:val="20"/>
        </w:rPr>
        <w:t xml:space="preserve"> sedadel</w:t>
      </w:r>
      <w:r w:rsidR="005356CB" w:rsidRPr="00305F5B">
        <w:rPr>
          <w:rFonts w:ascii="Arial" w:hAnsi="Arial" w:cs="Arial"/>
          <w:sz w:val="20"/>
          <w:szCs w:val="20"/>
        </w:rPr>
        <w:t xml:space="preserve">. </w:t>
      </w:r>
      <w:r w:rsidR="003E0D61">
        <w:rPr>
          <w:rFonts w:ascii="Arial" w:hAnsi="Arial" w:cs="Arial"/>
          <w:sz w:val="20"/>
          <w:szCs w:val="20"/>
        </w:rPr>
        <w:t>Je tu i</w:t>
      </w:r>
      <w:r w:rsidR="005356CB" w:rsidRPr="00305F5B">
        <w:rPr>
          <w:rFonts w:ascii="Arial" w:hAnsi="Arial" w:cs="Arial"/>
          <w:sz w:val="20"/>
          <w:szCs w:val="20"/>
        </w:rPr>
        <w:t xml:space="preserve"> </w:t>
      </w:r>
      <w:r w:rsidR="00BE16E8" w:rsidRPr="00305F5B">
        <w:rPr>
          <w:rFonts w:ascii="Arial" w:hAnsi="Arial" w:cs="Arial"/>
          <w:sz w:val="20"/>
          <w:szCs w:val="20"/>
        </w:rPr>
        <w:t>podstatný rozdíl mezi konzumací</w:t>
      </w:r>
      <w:r w:rsidR="00667690" w:rsidRPr="00305F5B">
        <w:rPr>
          <w:rFonts w:ascii="Arial" w:hAnsi="Arial" w:cs="Arial"/>
          <w:sz w:val="20"/>
          <w:szCs w:val="20"/>
        </w:rPr>
        <w:t xml:space="preserve"> čehokoliv například v bufetu divadla ve stoje během přestávky ve srovnání s odděleným prodejem občerstvení před kinosály a následnou konzumací vsedě uvnitř v sále </w:t>
      </w:r>
      <w:r w:rsidR="00F051FC">
        <w:rPr>
          <w:rFonts w:ascii="Arial" w:hAnsi="Arial" w:cs="Arial"/>
          <w:sz w:val="20"/>
          <w:szCs w:val="20"/>
        </w:rPr>
        <w:t xml:space="preserve">například </w:t>
      </w:r>
      <w:r w:rsidR="00667690" w:rsidRPr="00305F5B">
        <w:rPr>
          <w:rFonts w:ascii="Arial" w:hAnsi="Arial" w:cs="Arial"/>
          <w:sz w:val="20"/>
          <w:szCs w:val="20"/>
        </w:rPr>
        <w:t>v kruhu rodiny</w:t>
      </w:r>
      <w:r w:rsidR="004F46DB" w:rsidRPr="00305F5B">
        <w:rPr>
          <w:rFonts w:ascii="Arial" w:hAnsi="Arial" w:cs="Arial"/>
          <w:sz w:val="20"/>
          <w:szCs w:val="20"/>
        </w:rPr>
        <w:t xml:space="preserve"> s dostatečným rozestupem </w:t>
      </w:r>
      <w:r w:rsidR="003E0D61">
        <w:rPr>
          <w:rFonts w:ascii="Arial" w:hAnsi="Arial" w:cs="Arial"/>
          <w:sz w:val="20"/>
          <w:szCs w:val="20"/>
        </w:rPr>
        <w:t>od ostatních</w:t>
      </w:r>
      <w:r w:rsidR="00325877">
        <w:rPr>
          <w:rFonts w:ascii="Arial" w:hAnsi="Arial" w:cs="Arial"/>
          <w:sz w:val="20"/>
          <w:szCs w:val="20"/>
        </w:rPr>
        <w:t>,</w:t>
      </w:r>
      <w:r w:rsidR="003E0D61">
        <w:rPr>
          <w:rFonts w:ascii="Arial" w:hAnsi="Arial" w:cs="Arial"/>
          <w:sz w:val="20"/>
          <w:szCs w:val="20"/>
        </w:rPr>
        <w:t xml:space="preserve"> </w:t>
      </w:r>
      <w:r w:rsidR="005356CB" w:rsidRPr="00305F5B">
        <w:rPr>
          <w:rFonts w:ascii="Arial" w:hAnsi="Arial" w:cs="Arial"/>
          <w:sz w:val="20"/>
          <w:szCs w:val="20"/>
        </w:rPr>
        <w:t>podobně jako v restauracích. V těch</w:t>
      </w:r>
      <w:r w:rsidR="004F46DB" w:rsidRPr="00305F5B">
        <w:rPr>
          <w:rFonts w:ascii="Arial" w:hAnsi="Arial" w:cs="Arial"/>
          <w:sz w:val="20"/>
          <w:szCs w:val="20"/>
        </w:rPr>
        <w:t xml:space="preserve"> navíc dochází k opakov</w:t>
      </w:r>
      <w:r w:rsidR="005356CB" w:rsidRPr="00305F5B">
        <w:rPr>
          <w:rFonts w:ascii="Arial" w:hAnsi="Arial" w:cs="Arial"/>
          <w:sz w:val="20"/>
          <w:szCs w:val="20"/>
        </w:rPr>
        <w:t xml:space="preserve">anému kontaktu obsluhy s hosty, což u kin </w:t>
      </w:r>
      <w:r w:rsidR="003E0D61">
        <w:rPr>
          <w:rFonts w:ascii="Arial" w:hAnsi="Arial" w:cs="Arial"/>
          <w:sz w:val="20"/>
          <w:szCs w:val="20"/>
        </w:rPr>
        <w:t xml:space="preserve">v sálech zcela </w:t>
      </w:r>
      <w:r w:rsidR="005356CB" w:rsidRPr="00305F5B">
        <w:rPr>
          <w:rFonts w:ascii="Arial" w:hAnsi="Arial" w:cs="Arial"/>
          <w:sz w:val="20"/>
          <w:szCs w:val="20"/>
        </w:rPr>
        <w:t>odpadá.</w:t>
      </w:r>
    </w:p>
    <w:p w14:paraId="4E8549D9" w14:textId="77777777" w:rsidR="005356CB" w:rsidRPr="00305F5B" w:rsidRDefault="005356CB" w:rsidP="003E0D61">
      <w:pPr>
        <w:pStyle w:val="Prosttext"/>
        <w:rPr>
          <w:rFonts w:ascii="Arial" w:hAnsi="Arial" w:cs="Arial"/>
          <w:sz w:val="20"/>
          <w:szCs w:val="20"/>
        </w:rPr>
      </w:pPr>
    </w:p>
    <w:p w14:paraId="65271E4D" w14:textId="04F042B0" w:rsidR="00121D37" w:rsidRPr="00305F5B" w:rsidRDefault="00206BB1" w:rsidP="003E0D61">
      <w:pPr>
        <w:pStyle w:val="Prost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Asociace v čele s APA zároveň upozorňují</w:t>
      </w:r>
      <w:r w:rsidR="00381A50" w:rsidRPr="00305F5B">
        <w:rPr>
          <w:rFonts w:ascii="Arial" w:hAnsi="Arial" w:cs="Arial"/>
          <w:sz w:val="20"/>
          <w:szCs w:val="20"/>
        </w:rPr>
        <w:t xml:space="preserve">, že pokud mají výjimku </w:t>
      </w:r>
      <w:r w:rsidR="00E023DF" w:rsidRPr="00305F5B">
        <w:rPr>
          <w:rFonts w:ascii="Arial" w:hAnsi="Arial" w:cs="Arial"/>
          <w:sz w:val="20"/>
          <w:szCs w:val="20"/>
        </w:rPr>
        <w:t>z hromadných akcí sub</w:t>
      </w:r>
      <w:r w:rsidR="004F46DB" w:rsidRPr="00305F5B">
        <w:rPr>
          <w:rFonts w:ascii="Arial" w:hAnsi="Arial" w:cs="Arial"/>
          <w:sz w:val="20"/>
          <w:szCs w:val="20"/>
        </w:rPr>
        <w:t>jekty provozující herny, kasina a</w:t>
      </w:r>
      <w:r w:rsidR="00E023DF" w:rsidRPr="00305F5B">
        <w:rPr>
          <w:rFonts w:ascii="Arial" w:hAnsi="Arial" w:cs="Arial"/>
          <w:sz w:val="20"/>
          <w:szCs w:val="20"/>
        </w:rPr>
        <w:t xml:space="preserve"> provozovny stravovacích služeb, tak </w:t>
      </w:r>
      <w:r w:rsidR="00381A50" w:rsidRPr="00305F5B">
        <w:rPr>
          <w:rFonts w:ascii="Arial" w:hAnsi="Arial" w:cs="Arial"/>
          <w:sz w:val="20"/>
          <w:szCs w:val="20"/>
        </w:rPr>
        <w:t xml:space="preserve">by bylo </w:t>
      </w:r>
      <w:r w:rsidR="003E0D61">
        <w:rPr>
          <w:rFonts w:ascii="Arial" w:hAnsi="Arial" w:cs="Arial"/>
          <w:sz w:val="20"/>
          <w:szCs w:val="20"/>
        </w:rPr>
        <w:t xml:space="preserve">silně </w:t>
      </w:r>
      <w:r w:rsidR="00381A50" w:rsidRPr="00305F5B">
        <w:rPr>
          <w:rFonts w:ascii="Arial" w:hAnsi="Arial" w:cs="Arial"/>
          <w:sz w:val="20"/>
          <w:szCs w:val="20"/>
        </w:rPr>
        <w:t>diskriminační</w:t>
      </w:r>
      <w:r w:rsidR="00E023DF" w:rsidRPr="00305F5B">
        <w:rPr>
          <w:rFonts w:ascii="Arial" w:hAnsi="Arial" w:cs="Arial"/>
          <w:sz w:val="20"/>
          <w:szCs w:val="20"/>
        </w:rPr>
        <w:t xml:space="preserve"> nepovolit pevně definované podmínky u kin. </w:t>
      </w:r>
      <w:r w:rsidR="00121D37" w:rsidRPr="00305F5B">
        <w:rPr>
          <w:rFonts w:ascii="Arial" w:hAnsi="Arial" w:cs="Arial"/>
          <w:i/>
          <w:sz w:val="20"/>
          <w:szCs w:val="20"/>
        </w:rPr>
        <w:t xml:space="preserve">„Kina jsou při dodržování bezpečnostních opatření typu roušky, odstupy a větrání velmi bezpečná. Je </w:t>
      </w:r>
      <w:r w:rsidR="00305F5B" w:rsidRPr="00305F5B">
        <w:rPr>
          <w:rFonts w:ascii="Arial" w:hAnsi="Arial" w:cs="Arial"/>
          <w:i/>
          <w:sz w:val="20"/>
          <w:szCs w:val="20"/>
        </w:rPr>
        <w:t xml:space="preserve">velmi </w:t>
      </w:r>
      <w:r w:rsidR="00121D37" w:rsidRPr="00305F5B">
        <w:rPr>
          <w:rFonts w:ascii="Arial" w:hAnsi="Arial" w:cs="Arial"/>
          <w:i/>
          <w:sz w:val="20"/>
          <w:szCs w:val="20"/>
        </w:rPr>
        <w:t xml:space="preserve">zavádějící řadit kina, která nepatří mezi obory živé kultury a umí zajistit bezpečný kontakt návštěvníků, mezi </w:t>
      </w:r>
      <w:r>
        <w:rPr>
          <w:rFonts w:ascii="Arial" w:hAnsi="Arial" w:cs="Arial"/>
          <w:i/>
          <w:sz w:val="20"/>
          <w:szCs w:val="20"/>
        </w:rPr>
        <w:t xml:space="preserve">ostatní </w:t>
      </w:r>
      <w:r w:rsidR="00121D37" w:rsidRPr="00305F5B">
        <w:rPr>
          <w:rFonts w:ascii="Arial" w:hAnsi="Arial" w:cs="Arial"/>
          <w:i/>
          <w:sz w:val="20"/>
          <w:szCs w:val="20"/>
        </w:rPr>
        <w:t>kulturní akce a spo</w:t>
      </w:r>
      <w:r>
        <w:rPr>
          <w:rFonts w:ascii="Arial" w:hAnsi="Arial" w:cs="Arial"/>
          <w:i/>
          <w:sz w:val="20"/>
          <w:szCs w:val="20"/>
        </w:rPr>
        <w:t>jovat je s divadlem či koncerty bez hlubší analýzy a rozlišení.</w:t>
      </w:r>
      <w:r w:rsidR="00121D37" w:rsidRPr="00305F5B">
        <w:rPr>
          <w:rFonts w:ascii="Arial" w:hAnsi="Arial" w:cs="Arial"/>
          <w:i/>
          <w:sz w:val="20"/>
          <w:szCs w:val="20"/>
        </w:rPr>
        <w:t xml:space="preserve"> Navíc se v nich během první vlny neprokázala dle dostupných informací </w:t>
      </w:r>
      <w:r w:rsidR="00F051FC">
        <w:rPr>
          <w:rFonts w:ascii="Arial" w:hAnsi="Arial" w:cs="Arial"/>
          <w:i/>
          <w:sz w:val="20"/>
          <w:szCs w:val="20"/>
        </w:rPr>
        <w:t xml:space="preserve">z kin </w:t>
      </w:r>
      <w:r w:rsidR="00121D37" w:rsidRPr="00305F5B">
        <w:rPr>
          <w:rFonts w:ascii="Arial" w:hAnsi="Arial" w:cs="Arial"/>
          <w:i/>
          <w:sz w:val="20"/>
          <w:szCs w:val="20"/>
        </w:rPr>
        <w:t>vůbec žádná ohniska nákazy,“</w:t>
      </w:r>
      <w:r w:rsidR="00121D37" w:rsidRPr="00305F5B">
        <w:rPr>
          <w:rFonts w:ascii="Arial" w:hAnsi="Arial" w:cs="Arial"/>
          <w:sz w:val="20"/>
          <w:szCs w:val="20"/>
        </w:rPr>
        <w:t xml:space="preserve"> </w:t>
      </w:r>
      <w:r w:rsidR="00121D37" w:rsidRPr="00305F5B">
        <w:rPr>
          <w:rFonts w:ascii="Arial" w:hAnsi="Arial" w:cs="Arial"/>
          <w:b/>
          <w:sz w:val="20"/>
          <w:szCs w:val="20"/>
        </w:rPr>
        <w:t>říká předseda představenstva Asociace producentů v audiovizi Vratislav Šlajer</w:t>
      </w:r>
      <w:r w:rsidR="00305F5B" w:rsidRPr="00305F5B">
        <w:rPr>
          <w:rFonts w:ascii="Arial" w:hAnsi="Arial" w:cs="Arial"/>
          <w:b/>
          <w:sz w:val="20"/>
          <w:szCs w:val="20"/>
        </w:rPr>
        <w:t>.</w:t>
      </w:r>
    </w:p>
    <w:p w14:paraId="50C4F9D9" w14:textId="26E8FD26" w:rsidR="00020D53" w:rsidRDefault="00305F5B" w:rsidP="003E0D6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305F5B">
        <w:rPr>
          <w:rFonts w:ascii="Arial" w:hAnsi="Arial" w:cs="Arial"/>
          <w:sz w:val="20"/>
          <w:szCs w:val="20"/>
        </w:rPr>
        <w:t xml:space="preserve">Kina musí být podle </w:t>
      </w:r>
      <w:r w:rsidR="00206BB1">
        <w:rPr>
          <w:rFonts w:ascii="Arial" w:hAnsi="Arial" w:cs="Arial"/>
          <w:sz w:val="20"/>
          <w:szCs w:val="20"/>
        </w:rPr>
        <w:t>zástupců filmového průmyslu</w:t>
      </w:r>
      <w:r w:rsidRPr="00305F5B">
        <w:rPr>
          <w:rFonts w:ascii="Arial" w:hAnsi="Arial" w:cs="Arial"/>
          <w:sz w:val="20"/>
          <w:szCs w:val="20"/>
        </w:rPr>
        <w:t xml:space="preserve"> posuzována podle jiných kritérií, jsou řádově bezpečnější a současně ekonomicky</w:t>
      </w:r>
      <w:r w:rsidR="00991E85">
        <w:rPr>
          <w:rFonts w:ascii="Arial" w:hAnsi="Arial" w:cs="Arial"/>
          <w:sz w:val="20"/>
          <w:szCs w:val="20"/>
        </w:rPr>
        <w:t xml:space="preserve"> velmi zásadní. Opětovné zavření</w:t>
      </w:r>
      <w:r w:rsidRPr="00305F5B">
        <w:rPr>
          <w:rFonts w:ascii="Arial" w:hAnsi="Arial" w:cs="Arial"/>
          <w:sz w:val="20"/>
          <w:szCs w:val="20"/>
        </w:rPr>
        <w:t xml:space="preserve"> kin během druhé vlny má </w:t>
      </w:r>
      <w:r w:rsidR="003E0D61">
        <w:rPr>
          <w:rFonts w:ascii="Arial" w:hAnsi="Arial" w:cs="Arial"/>
          <w:sz w:val="20"/>
          <w:szCs w:val="20"/>
        </w:rPr>
        <w:t>fatální</w:t>
      </w:r>
      <w:r w:rsidRPr="00305F5B">
        <w:rPr>
          <w:rFonts w:ascii="Arial" w:hAnsi="Arial" w:cs="Arial"/>
          <w:sz w:val="20"/>
          <w:szCs w:val="20"/>
        </w:rPr>
        <w:t xml:space="preserve"> dopad na celý audiovizuální sektor, pro jehož velkou část kina znamenají základní příjem. </w:t>
      </w:r>
      <w:r w:rsidR="00991E85">
        <w:rPr>
          <w:rFonts w:ascii="Arial" w:hAnsi="Arial" w:cs="Arial"/>
          <w:sz w:val="20"/>
          <w:szCs w:val="20"/>
        </w:rPr>
        <w:t xml:space="preserve">Ročně má </w:t>
      </w:r>
      <w:proofErr w:type="spellStart"/>
      <w:r w:rsidR="00991E85">
        <w:rPr>
          <w:rFonts w:ascii="Arial" w:hAnsi="Arial" w:cs="Arial"/>
          <w:sz w:val="20"/>
          <w:szCs w:val="20"/>
        </w:rPr>
        <w:t>kino</w:t>
      </w:r>
      <w:r w:rsidR="00020D53" w:rsidRPr="00305F5B">
        <w:rPr>
          <w:rFonts w:ascii="Arial" w:hAnsi="Arial" w:cs="Arial"/>
          <w:sz w:val="20"/>
          <w:szCs w:val="20"/>
        </w:rPr>
        <w:t>trh</w:t>
      </w:r>
      <w:proofErr w:type="spellEnd"/>
      <w:r w:rsidR="00020D53" w:rsidRPr="00305F5B">
        <w:rPr>
          <w:rFonts w:ascii="Arial" w:hAnsi="Arial" w:cs="Arial"/>
          <w:sz w:val="20"/>
          <w:szCs w:val="20"/>
        </w:rPr>
        <w:t xml:space="preserve"> obrat cca 2,5 miliardy, na něj je ale navázaná výroba s obratem dalších 9 miliard. Zavřená kina jsou pro celý audiovizuální sektor velkou katastrofou. Obrat </w:t>
      </w:r>
      <w:r w:rsidR="00F051FC">
        <w:rPr>
          <w:rFonts w:ascii="Arial" w:hAnsi="Arial" w:cs="Arial"/>
          <w:sz w:val="20"/>
          <w:szCs w:val="20"/>
        </w:rPr>
        <w:t xml:space="preserve">audiovizuálního průmyslu činí v běžném roce </w:t>
      </w:r>
      <w:r w:rsidRPr="00305F5B">
        <w:rPr>
          <w:rFonts w:ascii="Arial" w:hAnsi="Arial" w:cs="Arial"/>
          <w:sz w:val="20"/>
          <w:szCs w:val="20"/>
        </w:rPr>
        <w:t>zhruba 30 miliard</w:t>
      </w:r>
      <w:r w:rsidR="00F051FC">
        <w:rPr>
          <w:rFonts w:ascii="Arial" w:hAnsi="Arial" w:cs="Arial"/>
          <w:sz w:val="20"/>
          <w:szCs w:val="20"/>
        </w:rPr>
        <w:t xml:space="preserve"> ročně a </w:t>
      </w:r>
      <w:r w:rsidR="00020D53" w:rsidRPr="00305F5B">
        <w:rPr>
          <w:rFonts w:ascii="Arial" w:hAnsi="Arial" w:cs="Arial"/>
          <w:sz w:val="20"/>
          <w:szCs w:val="20"/>
        </w:rPr>
        <w:t>jde o provázaný ekosystém výroby a distribuce.</w:t>
      </w:r>
      <w:r w:rsidR="00F051FC">
        <w:rPr>
          <w:rFonts w:ascii="Arial" w:hAnsi="Arial" w:cs="Arial"/>
          <w:sz w:val="20"/>
          <w:szCs w:val="20"/>
        </w:rPr>
        <w:t xml:space="preserve"> Pokud by vláda nechala kina vedle restaurací či maloobchodů zavřená</w:t>
      </w:r>
      <w:r w:rsidR="003E0D61">
        <w:rPr>
          <w:rFonts w:ascii="Arial" w:hAnsi="Arial" w:cs="Arial"/>
          <w:sz w:val="20"/>
          <w:szCs w:val="20"/>
        </w:rPr>
        <w:t>,</w:t>
      </w:r>
      <w:r w:rsidR="00F051FC">
        <w:rPr>
          <w:rFonts w:ascii="Arial" w:hAnsi="Arial" w:cs="Arial"/>
          <w:sz w:val="20"/>
          <w:szCs w:val="20"/>
        </w:rPr>
        <w:t xml:space="preserve"> </w:t>
      </w:r>
      <w:r w:rsidR="00206BB1">
        <w:rPr>
          <w:rFonts w:ascii="Arial" w:hAnsi="Arial" w:cs="Arial"/>
          <w:sz w:val="20"/>
          <w:szCs w:val="20"/>
        </w:rPr>
        <w:t>asociace by zvažovaly</w:t>
      </w:r>
      <w:r w:rsidR="00F051FC">
        <w:rPr>
          <w:rFonts w:ascii="Arial" w:hAnsi="Arial" w:cs="Arial"/>
          <w:sz w:val="20"/>
          <w:szCs w:val="20"/>
        </w:rPr>
        <w:t xml:space="preserve"> další kroky, některá kina by totiž už vůbec nemusela otevřít.</w:t>
      </w:r>
      <w:r w:rsidR="00991E85">
        <w:rPr>
          <w:rFonts w:ascii="Arial" w:hAnsi="Arial" w:cs="Arial"/>
          <w:sz w:val="20"/>
          <w:szCs w:val="20"/>
        </w:rPr>
        <w:t xml:space="preserve"> </w:t>
      </w:r>
      <w:r w:rsidR="00991E85" w:rsidRPr="00206BB1">
        <w:rPr>
          <w:rFonts w:ascii="Arial" w:hAnsi="Arial" w:cs="Arial"/>
          <w:sz w:val="20"/>
          <w:szCs w:val="20"/>
        </w:rPr>
        <w:t>Alarmující jsou i čísla</w:t>
      </w:r>
      <w:r w:rsidR="00325877">
        <w:rPr>
          <w:rFonts w:ascii="Arial" w:hAnsi="Arial" w:cs="Arial"/>
          <w:sz w:val="20"/>
          <w:szCs w:val="20"/>
        </w:rPr>
        <w:t xml:space="preserve"> zveřejněná Českou protipirátskou unií</w:t>
      </w:r>
      <w:r w:rsidR="00991E85" w:rsidRPr="00206BB1">
        <w:rPr>
          <w:rFonts w:ascii="Arial" w:hAnsi="Arial" w:cs="Arial"/>
          <w:sz w:val="20"/>
          <w:szCs w:val="20"/>
        </w:rPr>
        <w:t>, která upozornila, že lidé nyní konzumují filmy a seriály z nelegálních zdrojů desetkrát častěji než z legálních, čemuž nahrává i úplné uzavření kin.</w:t>
      </w:r>
    </w:p>
    <w:p w14:paraId="094503B7" w14:textId="534453D3" w:rsidR="00DE0E64" w:rsidRPr="00F051FC" w:rsidRDefault="00DE0E64" w:rsidP="00DE0E64">
      <w:pPr>
        <w:pStyle w:val="Prosttext"/>
        <w:rPr>
          <w:rFonts w:ascii="Arial" w:hAnsi="Arial" w:cs="Arial"/>
          <w:sz w:val="20"/>
          <w:szCs w:val="20"/>
        </w:rPr>
      </w:pPr>
      <w:r w:rsidRPr="00325877">
        <w:rPr>
          <w:rFonts w:ascii="Arial" w:hAnsi="Arial" w:cs="Arial"/>
          <w:sz w:val="20"/>
          <w:szCs w:val="20"/>
        </w:rPr>
        <w:t>APA</w:t>
      </w:r>
      <w:r w:rsidRPr="00F051FC">
        <w:rPr>
          <w:rFonts w:ascii="Arial" w:hAnsi="Arial" w:cs="Arial"/>
          <w:sz w:val="20"/>
          <w:szCs w:val="20"/>
        </w:rPr>
        <w:t xml:space="preserve"> navíc opakovaně upozorňuje na to, že audiovizuální průmysl a jeho podpora vypadla z první i druhé výzvy </w:t>
      </w:r>
      <w:r w:rsidR="00580A84" w:rsidRPr="00F051FC">
        <w:rPr>
          <w:rFonts w:ascii="Arial" w:hAnsi="Arial" w:cs="Arial"/>
          <w:sz w:val="20"/>
          <w:szCs w:val="20"/>
        </w:rPr>
        <w:t xml:space="preserve">programu </w:t>
      </w:r>
      <w:r w:rsidRPr="00F051FC">
        <w:rPr>
          <w:rFonts w:ascii="Arial" w:hAnsi="Arial" w:cs="Arial"/>
          <w:sz w:val="20"/>
          <w:szCs w:val="20"/>
        </w:rPr>
        <w:t>COVID – Kultura</w:t>
      </w:r>
      <w:r w:rsidR="00580A84" w:rsidRPr="00F051FC">
        <w:rPr>
          <w:rFonts w:ascii="Arial" w:hAnsi="Arial" w:cs="Arial"/>
          <w:sz w:val="20"/>
          <w:szCs w:val="20"/>
        </w:rPr>
        <w:t>, který připravilo Ministerstvo průmyslu a obchodu ve spolupráci s Ministerstvem kultury.</w:t>
      </w:r>
      <w:r w:rsidRPr="00F051FC">
        <w:rPr>
          <w:rFonts w:ascii="Arial" w:hAnsi="Arial" w:cs="Arial"/>
          <w:sz w:val="20"/>
          <w:szCs w:val="20"/>
        </w:rPr>
        <w:t xml:space="preserve"> </w:t>
      </w:r>
      <w:r w:rsidR="003E0D61">
        <w:rPr>
          <w:rFonts w:ascii="Arial" w:hAnsi="Arial" w:cs="Arial"/>
          <w:sz w:val="20"/>
          <w:szCs w:val="20"/>
        </w:rPr>
        <w:t>Navíc podle ní</w:t>
      </w:r>
      <w:r w:rsidR="00F051FC">
        <w:rPr>
          <w:rFonts w:ascii="Arial" w:hAnsi="Arial" w:cs="Arial"/>
          <w:sz w:val="20"/>
          <w:szCs w:val="20"/>
        </w:rPr>
        <w:t xml:space="preserve"> </w:t>
      </w:r>
      <w:r w:rsidRPr="00F051FC">
        <w:rPr>
          <w:rFonts w:ascii="Arial" w:hAnsi="Arial" w:cs="Arial"/>
          <w:sz w:val="20"/>
          <w:szCs w:val="20"/>
        </w:rPr>
        <w:t xml:space="preserve">dochází </w:t>
      </w:r>
      <w:r w:rsidR="003E0D61">
        <w:rPr>
          <w:rFonts w:ascii="Arial" w:hAnsi="Arial" w:cs="Arial"/>
          <w:sz w:val="20"/>
          <w:szCs w:val="20"/>
        </w:rPr>
        <w:t xml:space="preserve">od začátku pandemie </w:t>
      </w:r>
      <w:r w:rsidRPr="00F051FC">
        <w:rPr>
          <w:rFonts w:ascii="Arial" w:hAnsi="Arial" w:cs="Arial"/>
          <w:sz w:val="20"/>
          <w:szCs w:val="20"/>
        </w:rPr>
        <w:t>k </w:t>
      </w:r>
      <w:r w:rsidR="00D9680F" w:rsidRPr="00F051FC">
        <w:rPr>
          <w:rFonts w:ascii="Arial" w:hAnsi="Arial" w:cs="Arial"/>
          <w:sz w:val="20"/>
          <w:szCs w:val="20"/>
        </w:rPr>
        <w:t>diskriminaci</w:t>
      </w:r>
      <w:r w:rsidRPr="00F051FC">
        <w:rPr>
          <w:rFonts w:ascii="Arial" w:hAnsi="Arial" w:cs="Arial"/>
          <w:sz w:val="20"/>
          <w:szCs w:val="20"/>
        </w:rPr>
        <w:t xml:space="preserve"> </w:t>
      </w:r>
      <w:r w:rsidR="00D9680F" w:rsidRPr="00F051FC">
        <w:rPr>
          <w:rFonts w:ascii="Arial" w:hAnsi="Arial" w:cs="Arial"/>
          <w:sz w:val="20"/>
          <w:szCs w:val="20"/>
        </w:rPr>
        <w:t xml:space="preserve">podnikatelů v oblasti </w:t>
      </w:r>
      <w:r w:rsidR="00580A84" w:rsidRPr="00F051FC">
        <w:rPr>
          <w:rFonts w:ascii="Arial" w:hAnsi="Arial" w:cs="Arial"/>
          <w:sz w:val="20"/>
          <w:szCs w:val="20"/>
        </w:rPr>
        <w:t>audiovizuálního průmyslu</w:t>
      </w:r>
      <w:r w:rsidR="00793697" w:rsidRPr="00F051FC">
        <w:rPr>
          <w:rFonts w:ascii="Arial" w:hAnsi="Arial" w:cs="Arial"/>
          <w:sz w:val="20"/>
          <w:szCs w:val="20"/>
        </w:rPr>
        <w:t xml:space="preserve"> a dodavatelů služeb typu OSVČ i </w:t>
      </w:r>
      <w:r w:rsidR="00206BB1">
        <w:rPr>
          <w:rFonts w:ascii="Arial" w:hAnsi="Arial" w:cs="Arial"/>
          <w:sz w:val="20"/>
          <w:szCs w:val="20"/>
        </w:rPr>
        <w:t xml:space="preserve">malých </w:t>
      </w:r>
      <w:r w:rsidR="00793697" w:rsidRPr="00F051FC">
        <w:rPr>
          <w:rFonts w:ascii="Arial" w:hAnsi="Arial" w:cs="Arial"/>
          <w:sz w:val="20"/>
          <w:szCs w:val="20"/>
        </w:rPr>
        <w:t>společností zajišťující</w:t>
      </w:r>
      <w:r w:rsidR="00325877">
        <w:rPr>
          <w:rFonts w:ascii="Arial" w:hAnsi="Arial" w:cs="Arial"/>
          <w:sz w:val="20"/>
          <w:szCs w:val="20"/>
        </w:rPr>
        <w:t>ch</w:t>
      </w:r>
      <w:r w:rsidR="00793697" w:rsidRPr="00F051FC">
        <w:rPr>
          <w:rFonts w:ascii="Arial" w:hAnsi="Arial" w:cs="Arial"/>
          <w:sz w:val="20"/>
          <w:szCs w:val="20"/>
        </w:rPr>
        <w:t xml:space="preserve"> komerční činnosti pro tento sektor</w:t>
      </w:r>
      <w:r w:rsidR="00D9680F" w:rsidRPr="00F051FC">
        <w:rPr>
          <w:rFonts w:ascii="Arial" w:hAnsi="Arial" w:cs="Arial"/>
          <w:sz w:val="20"/>
          <w:szCs w:val="20"/>
        </w:rPr>
        <w:t xml:space="preserve">. </w:t>
      </w:r>
      <w:r w:rsidR="00580A84" w:rsidRPr="00F051FC">
        <w:rPr>
          <w:rFonts w:ascii="Arial" w:hAnsi="Arial" w:cs="Arial"/>
          <w:sz w:val="20"/>
          <w:szCs w:val="20"/>
        </w:rPr>
        <w:t>Veřejnosti známé podpory Ministerstva</w:t>
      </w:r>
      <w:r w:rsidR="00D9680F" w:rsidRPr="00F051FC">
        <w:rPr>
          <w:rFonts w:ascii="Arial" w:hAnsi="Arial" w:cs="Arial"/>
          <w:sz w:val="20"/>
          <w:szCs w:val="20"/>
        </w:rPr>
        <w:t xml:space="preserve"> kultury totiž </w:t>
      </w:r>
      <w:r w:rsidR="00580A84" w:rsidRPr="00F051FC">
        <w:rPr>
          <w:rFonts w:ascii="Arial" w:hAnsi="Arial" w:cs="Arial"/>
          <w:sz w:val="20"/>
          <w:szCs w:val="20"/>
        </w:rPr>
        <w:t>směřují především do</w:t>
      </w:r>
      <w:r w:rsidR="00D9680F" w:rsidRPr="00F051FC">
        <w:rPr>
          <w:rFonts w:ascii="Arial" w:hAnsi="Arial" w:cs="Arial"/>
          <w:sz w:val="20"/>
          <w:szCs w:val="20"/>
        </w:rPr>
        <w:t xml:space="preserve"> </w:t>
      </w:r>
      <w:r w:rsidR="00580A84" w:rsidRPr="00F051FC">
        <w:rPr>
          <w:rFonts w:ascii="Arial" w:hAnsi="Arial" w:cs="Arial"/>
          <w:sz w:val="20"/>
          <w:szCs w:val="20"/>
        </w:rPr>
        <w:t>sektoru neziskové kultury</w:t>
      </w:r>
      <w:r w:rsidR="003D3119" w:rsidRPr="00F051FC">
        <w:rPr>
          <w:rFonts w:ascii="Arial" w:hAnsi="Arial" w:cs="Arial"/>
          <w:sz w:val="20"/>
          <w:szCs w:val="20"/>
        </w:rPr>
        <w:t xml:space="preserve"> nebo </w:t>
      </w:r>
      <w:r w:rsidR="00580A84" w:rsidRPr="00F051FC">
        <w:rPr>
          <w:rFonts w:ascii="Arial" w:hAnsi="Arial" w:cs="Arial"/>
          <w:sz w:val="20"/>
          <w:szCs w:val="20"/>
        </w:rPr>
        <w:t xml:space="preserve">do Státního </w:t>
      </w:r>
      <w:r w:rsidR="00D9680F" w:rsidRPr="00F051FC">
        <w:rPr>
          <w:rFonts w:ascii="Arial" w:hAnsi="Arial" w:cs="Arial"/>
          <w:sz w:val="20"/>
          <w:szCs w:val="20"/>
        </w:rPr>
        <w:t>fond</w:t>
      </w:r>
      <w:r w:rsidR="00580A84" w:rsidRPr="00F051FC">
        <w:rPr>
          <w:rFonts w:ascii="Arial" w:hAnsi="Arial" w:cs="Arial"/>
          <w:sz w:val="20"/>
          <w:szCs w:val="20"/>
        </w:rPr>
        <w:t>u</w:t>
      </w:r>
      <w:r w:rsidR="00D9680F" w:rsidRPr="00F051FC">
        <w:rPr>
          <w:rFonts w:ascii="Arial" w:hAnsi="Arial" w:cs="Arial"/>
          <w:sz w:val="20"/>
          <w:szCs w:val="20"/>
        </w:rPr>
        <w:t xml:space="preserve"> kinematografie</w:t>
      </w:r>
      <w:r w:rsidR="00580A84" w:rsidRPr="00F051FC">
        <w:rPr>
          <w:rFonts w:ascii="Arial" w:hAnsi="Arial" w:cs="Arial"/>
          <w:sz w:val="20"/>
          <w:szCs w:val="20"/>
        </w:rPr>
        <w:t xml:space="preserve">. Ten ale ze </w:t>
      </w:r>
      <w:r w:rsidR="00580A84" w:rsidRPr="00F051FC">
        <w:rPr>
          <w:rFonts w:ascii="Arial" w:hAnsi="Arial" w:cs="Arial"/>
          <w:sz w:val="20"/>
          <w:szCs w:val="20"/>
        </w:rPr>
        <w:lastRenderedPageBreak/>
        <w:t xml:space="preserve">zákona </w:t>
      </w:r>
      <w:r w:rsidR="00F051FC">
        <w:rPr>
          <w:rFonts w:ascii="Arial" w:hAnsi="Arial" w:cs="Arial"/>
          <w:sz w:val="20"/>
          <w:szCs w:val="20"/>
        </w:rPr>
        <w:t>smí udělovat pouze</w:t>
      </w:r>
      <w:r w:rsidR="00580A84" w:rsidRPr="00F051FC">
        <w:rPr>
          <w:rFonts w:ascii="Arial" w:hAnsi="Arial" w:cs="Arial"/>
          <w:sz w:val="20"/>
          <w:szCs w:val="20"/>
        </w:rPr>
        <w:t xml:space="preserve"> selektivní podporu vybraným projektům</w:t>
      </w:r>
      <w:r w:rsidR="003D3119" w:rsidRPr="00F051FC">
        <w:rPr>
          <w:rFonts w:ascii="Arial" w:hAnsi="Arial" w:cs="Arial"/>
          <w:sz w:val="20"/>
          <w:szCs w:val="20"/>
        </w:rPr>
        <w:t xml:space="preserve"> </w:t>
      </w:r>
      <w:r w:rsidR="00580A84" w:rsidRPr="00F051FC">
        <w:rPr>
          <w:rFonts w:ascii="Arial" w:hAnsi="Arial" w:cs="Arial"/>
          <w:sz w:val="20"/>
          <w:szCs w:val="20"/>
        </w:rPr>
        <w:t>a</w:t>
      </w:r>
      <w:r w:rsidR="003D3119" w:rsidRPr="00F051FC">
        <w:rPr>
          <w:rFonts w:ascii="Arial" w:hAnsi="Arial" w:cs="Arial"/>
          <w:sz w:val="20"/>
          <w:szCs w:val="20"/>
        </w:rPr>
        <w:t xml:space="preserve"> neumožňuje </w:t>
      </w:r>
      <w:r w:rsidR="00F051FC">
        <w:rPr>
          <w:rFonts w:ascii="Arial" w:hAnsi="Arial" w:cs="Arial"/>
          <w:sz w:val="20"/>
          <w:szCs w:val="20"/>
        </w:rPr>
        <w:t xml:space="preserve">podporovat sektor audiovize plošně. Během první vlny </w:t>
      </w:r>
      <w:r w:rsidR="00F051FC" w:rsidRPr="00576CF6">
        <w:rPr>
          <w:rFonts w:ascii="Arial" w:hAnsi="Arial" w:cs="Arial"/>
          <w:sz w:val="20"/>
          <w:szCs w:val="20"/>
        </w:rPr>
        <w:t>pandemie APA odhad</w:t>
      </w:r>
      <w:r w:rsidR="00F051FC">
        <w:rPr>
          <w:rFonts w:ascii="Arial" w:hAnsi="Arial" w:cs="Arial"/>
          <w:sz w:val="20"/>
          <w:szCs w:val="20"/>
        </w:rPr>
        <w:t>ovala</w:t>
      </w:r>
      <w:r w:rsidR="00F051FC" w:rsidRPr="00576CF6">
        <w:rPr>
          <w:rFonts w:ascii="Arial" w:hAnsi="Arial" w:cs="Arial"/>
          <w:sz w:val="20"/>
          <w:szCs w:val="20"/>
        </w:rPr>
        <w:t xml:space="preserve"> </w:t>
      </w:r>
      <w:r w:rsidR="00F051FC">
        <w:rPr>
          <w:rFonts w:ascii="Arial" w:hAnsi="Arial" w:cs="Arial"/>
          <w:sz w:val="20"/>
          <w:szCs w:val="20"/>
        </w:rPr>
        <w:t>celkový pokles výroby ve filmovém průmyslu a na něj navázaných oborů za rok 2020 o 75 procent</w:t>
      </w:r>
      <w:r w:rsidR="00206BB1">
        <w:rPr>
          <w:rFonts w:ascii="Arial" w:hAnsi="Arial" w:cs="Arial"/>
          <w:sz w:val="20"/>
          <w:szCs w:val="20"/>
        </w:rPr>
        <w:t>.</w:t>
      </w:r>
    </w:p>
    <w:p w14:paraId="39084C3F" w14:textId="77777777" w:rsidR="00305F5B" w:rsidRPr="004F46DB" w:rsidRDefault="00305F5B" w:rsidP="00DE0E64">
      <w:pPr>
        <w:pStyle w:val="Prosttext"/>
        <w:rPr>
          <w:rFonts w:ascii="Arial" w:hAnsi="Arial" w:cs="Arial"/>
          <w:b/>
          <w:sz w:val="20"/>
          <w:szCs w:val="20"/>
        </w:rPr>
      </w:pPr>
    </w:p>
    <w:p w14:paraId="51A45447" w14:textId="77777777" w:rsidR="00041E4D" w:rsidRDefault="00041E4D" w:rsidP="00576CF6">
      <w:pPr>
        <w:pStyle w:val="Prosttext"/>
        <w:rPr>
          <w:rFonts w:ascii="Arial" w:hAnsi="Arial" w:cs="Arial"/>
          <w:sz w:val="20"/>
          <w:szCs w:val="20"/>
        </w:rPr>
      </w:pPr>
    </w:p>
    <w:p w14:paraId="05C166FC" w14:textId="6D5A54BB" w:rsidR="00B80D6E" w:rsidRDefault="00B80D6E" w:rsidP="00B80D6E">
      <w:pPr>
        <w:rPr>
          <w:rFonts w:ascii="Arial" w:eastAsiaTheme="minorEastAsia" w:hAnsi="Arial" w:cs="Arial"/>
          <w:noProof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</w:rPr>
        <w:t>APA – Asociace producentů v audiovizi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eastAsiaTheme="minorEastAsia" w:hAnsi="Arial" w:cs="Arial"/>
          <w:noProof/>
          <w:sz w:val="20"/>
          <w:szCs w:val="20"/>
          <w:lang w:eastAsia="cs-CZ"/>
        </w:rPr>
        <w:t>Martina Chvojka Reková</w:t>
      </w:r>
      <w:r>
        <w:rPr>
          <w:rFonts w:ascii="Arial" w:eastAsiaTheme="minorEastAsia" w:hAnsi="Arial" w:cs="Arial"/>
          <w:noProof/>
          <w:sz w:val="20"/>
          <w:szCs w:val="20"/>
          <w:lang w:eastAsia="cs-CZ"/>
        </w:rPr>
        <w:br/>
      </w:r>
      <w:hyperlink r:id="rId10" w:history="1">
        <w:r>
          <w:rPr>
            <w:rStyle w:val="Hypertextovodkaz"/>
            <w:rFonts w:ascii="Arial" w:eastAsiaTheme="minorEastAsia" w:hAnsi="Arial" w:cs="Arial"/>
            <w:noProof/>
            <w:sz w:val="20"/>
            <w:szCs w:val="20"/>
            <w:lang w:eastAsia="cs-CZ"/>
          </w:rPr>
          <w:t>martina.rekova@4press.cz</w:t>
        </w:r>
      </w:hyperlink>
      <w:r>
        <w:rPr>
          <w:rFonts w:ascii="Arial" w:eastAsiaTheme="minorEastAsia" w:hAnsi="Arial" w:cs="Arial"/>
          <w:noProof/>
          <w:sz w:val="20"/>
          <w:szCs w:val="20"/>
          <w:lang w:eastAsia="cs-CZ"/>
        </w:rPr>
        <w:br/>
        <w:t xml:space="preserve">+420 </w:t>
      </w:r>
      <w:r w:rsidR="00325877">
        <w:rPr>
          <w:rFonts w:ascii="Arial" w:eastAsiaTheme="minorEastAsia" w:hAnsi="Arial" w:cs="Arial"/>
          <w:noProof/>
          <w:sz w:val="20"/>
          <w:szCs w:val="20"/>
          <w:lang w:eastAsia="cs-CZ"/>
        </w:rPr>
        <w:t>731 573 993</w:t>
      </w:r>
      <w:r w:rsidR="00325877">
        <w:rPr>
          <w:rFonts w:ascii="Arial" w:eastAsiaTheme="minorEastAsia" w:hAnsi="Arial" w:cs="Arial"/>
          <w:noProof/>
          <w:sz w:val="20"/>
          <w:szCs w:val="20"/>
          <w:lang w:eastAsia="cs-CZ"/>
        </w:rPr>
        <w:br/>
        <w:t>Národní 28, Praha 1</w:t>
      </w:r>
      <w:r w:rsidR="00325877">
        <w:rPr>
          <w:rStyle w:val="Hypertextovodkaz"/>
          <w:rFonts w:ascii="Arial" w:eastAsiaTheme="minorEastAsia" w:hAnsi="Arial" w:cs="Arial"/>
          <w:noProof/>
          <w:sz w:val="20"/>
          <w:szCs w:val="20"/>
          <w:lang w:eastAsia="cs-CZ"/>
        </w:rPr>
        <w:br/>
      </w:r>
      <w:hyperlink r:id="rId11" w:history="1">
        <w:r w:rsidR="00325877" w:rsidRPr="005558AB">
          <w:rPr>
            <w:rStyle w:val="Hypertextovodkaz"/>
            <w:rFonts w:ascii="Arial" w:eastAsiaTheme="minorEastAsia" w:hAnsi="Arial" w:cs="Arial"/>
            <w:noProof/>
            <w:sz w:val="20"/>
            <w:szCs w:val="20"/>
            <w:lang w:eastAsia="cs-CZ"/>
          </w:rPr>
          <w:t>www.asociaceproducentu.cz</w:t>
        </w:r>
      </w:hyperlink>
    </w:p>
    <w:p w14:paraId="6FCD08E8" w14:textId="77777777" w:rsidR="00325877" w:rsidRDefault="00325877" w:rsidP="00B80D6E">
      <w:pPr>
        <w:rPr>
          <w:rFonts w:ascii="Arial" w:eastAsiaTheme="minorEastAsia" w:hAnsi="Arial" w:cs="Arial"/>
          <w:noProof/>
          <w:sz w:val="20"/>
          <w:szCs w:val="20"/>
          <w:lang w:eastAsia="cs-CZ"/>
        </w:rPr>
      </w:pPr>
    </w:p>
    <w:p w14:paraId="679897D4" w14:textId="77777777" w:rsidR="00760E89" w:rsidRPr="00B80D6E" w:rsidRDefault="00760E89" w:rsidP="00B80D6E">
      <w:pPr>
        <w:rPr>
          <w:rFonts w:ascii="Arial" w:hAnsi="Arial" w:cs="Arial"/>
          <w:b/>
          <w:sz w:val="20"/>
          <w:szCs w:val="20"/>
        </w:rPr>
      </w:pPr>
    </w:p>
    <w:sectPr w:rsidR="00760E89" w:rsidRPr="00B80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78B73" w16cex:dateUtc="2020-11-24T12:38:00Z"/>
  <w16cex:commentExtensible w16cex:durableId="23678C2D" w16cex:dateUtc="2020-11-24T12:42:00Z"/>
  <w16cex:commentExtensible w16cex:durableId="23678C7B" w16cex:dateUtc="2020-11-24T12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846395" w16cid:durableId="23678B73"/>
  <w16cid:commentId w16cid:paraId="04915C13" w16cid:durableId="23678C2D"/>
  <w16cid:commentId w16cid:paraId="79546F85" w16cid:durableId="23678C7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C5B75"/>
    <w:multiLevelType w:val="hybridMultilevel"/>
    <w:tmpl w:val="F8D6F2F6"/>
    <w:lvl w:ilvl="0" w:tplc="04CC557C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36"/>
    <w:rsid w:val="00020D53"/>
    <w:rsid w:val="000349B5"/>
    <w:rsid w:val="00041E4D"/>
    <w:rsid w:val="00062946"/>
    <w:rsid w:val="00093065"/>
    <w:rsid w:val="000D4424"/>
    <w:rsid w:val="000E3F40"/>
    <w:rsid w:val="000F27AE"/>
    <w:rsid w:val="00121D37"/>
    <w:rsid w:val="001628DC"/>
    <w:rsid w:val="001E6A57"/>
    <w:rsid w:val="00206BB1"/>
    <w:rsid w:val="002563A5"/>
    <w:rsid w:val="00305F5B"/>
    <w:rsid w:val="00325877"/>
    <w:rsid w:val="00381A50"/>
    <w:rsid w:val="003A6F82"/>
    <w:rsid w:val="003B7454"/>
    <w:rsid w:val="003C6EE7"/>
    <w:rsid w:val="003D3119"/>
    <w:rsid w:val="003D5686"/>
    <w:rsid w:val="003E0D61"/>
    <w:rsid w:val="003F5B08"/>
    <w:rsid w:val="00407066"/>
    <w:rsid w:val="00424CF8"/>
    <w:rsid w:val="004F46DB"/>
    <w:rsid w:val="005356CB"/>
    <w:rsid w:val="00576CF6"/>
    <w:rsid w:val="00580A84"/>
    <w:rsid w:val="00667690"/>
    <w:rsid w:val="00753045"/>
    <w:rsid w:val="00760E89"/>
    <w:rsid w:val="00777856"/>
    <w:rsid w:val="00793697"/>
    <w:rsid w:val="007B244F"/>
    <w:rsid w:val="008C264C"/>
    <w:rsid w:val="008C7BE7"/>
    <w:rsid w:val="00953AE6"/>
    <w:rsid w:val="00991E85"/>
    <w:rsid w:val="009E507E"/>
    <w:rsid w:val="009F10E9"/>
    <w:rsid w:val="00A4441E"/>
    <w:rsid w:val="00A85ED1"/>
    <w:rsid w:val="00AC7DC2"/>
    <w:rsid w:val="00AD3C18"/>
    <w:rsid w:val="00AD6176"/>
    <w:rsid w:val="00B24EE3"/>
    <w:rsid w:val="00B80D6E"/>
    <w:rsid w:val="00BE16E8"/>
    <w:rsid w:val="00C71C36"/>
    <w:rsid w:val="00D21303"/>
    <w:rsid w:val="00D9680F"/>
    <w:rsid w:val="00DE0E64"/>
    <w:rsid w:val="00E023DF"/>
    <w:rsid w:val="00ED6875"/>
    <w:rsid w:val="00F004C1"/>
    <w:rsid w:val="00F051FC"/>
    <w:rsid w:val="00F1459B"/>
    <w:rsid w:val="00FE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7C37"/>
  <w15:chartTrackingRefBased/>
  <w15:docId w15:val="{0266FEE2-BCD4-40AA-8E05-D85985B6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C71C3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71C36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C7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6CF6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0D6E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349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49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49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49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49B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sociaceproducentu.cz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martina.rekova@4press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630D3-6102-4190-BF6C-DB80E109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Reková</dc:creator>
  <cp:keywords/>
  <dc:description/>
  <cp:lastModifiedBy>Martina Reková</cp:lastModifiedBy>
  <cp:revision>2</cp:revision>
  <dcterms:created xsi:type="dcterms:W3CDTF">2020-11-24T13:26:00Z</dcterms:created>
  <dcterms:modified xsi:type="dcterms:W3CDTF">2020-11-24T13:26:00Z</dcterms:modified>
</cp:coreProperties>
</file>